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微软雅黑"/>
          <w:b/>
          <w:bCs/>
          <w:kern w:val="44"/>
          <w:sz w:val="28"/>
          <w:szCs w:val="28"/>
        </w:rPr>
      </w:pPr>
      <w:r>
        <w:rPr>
          <w:rFonts w:hint="eastAsia" w:ascii="微软雅黑" w:hAnsi="微软雅黑" w:eastAsia="微软雅黑"/>
          <w:b/>
          <w:bCs/>
          <w:kern w:val="44"/>
          <w:sz w:val="28"/>
          <w:szCs w:val="28"/>
        </w:rPr>
        <w:t>附录：支撑材料清单</w:t>
      </w:r>
    </w:p>
    <w:tbl>
      <w:tblPr>
        <w:tblStyle w:val="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165"/>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60" w:type="dxa"/>
            <w:vAlign w:val="center"/>
          </w:tcPr>
          <w:p>
            <w:pPr>
              <w:pStyle w:val="6"/>
              <w:autoSpaceDE w:val="0"/>
              <w:autoSpaceDN w:val="0"/>
              <w:adjustRightInd w:val="0"/>
              <w:spacing w:line="300" w:lineRule="exact"/>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标准项</w:t>
            </w:r>
          </w:p>
        </w:tc>
        <w:tc>
          <w:tcPr>
            <w:tcW w:w="1165" w:type="dxa"/>
            <w:vAlign w:val="center"/>
          </w:tcPr>
          <w:p>
            <w:pPr>
              <w:pStyle w:val="6"/>
              <w:autoSpaceDE w:val="0"/>
              <w:autoSpaceDN w:val="0"/>
              <w:adjustRightInd w:val="0"/>
              <w:spacing w:line="300" w:lineRule="exact"/>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标准</w:t>
            </w:r>
          </w:p>
          <w:p>
            <w:pPr>
              <w:pStyle w:val="6"/>
              <w:autoSpaceDE w:val="0"/>
              <w:autoSpaceDN w:val="0"/>
              <w:adjustRightInd w:val="0"/>
              <w:spacing w:line="300" w:lineRule="exact"/>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条文</w:t>
            </w:r>
          </w:p>
        </w:tc>
        <w:tc>
          <w:tcPr>
            <w:tcW w:w="6831" w:type="dxa"/>
            <w:vAlign w:val="center"/>
          </w:tcPr>
          <w:p>
            <w:pPr>
              <w:pStyle w:val="6"/>
              <w:autoSpaceDE w:val="0"/>
              <w:autoSpaceDN w:val="0"/>
              <w:adjustRightInd w:val="0"/>
              <w:ind w:left="0"/>
              <w:jc w:val="center"/>
              <w:rPr>
                <w:rFonts w:ascii="仿宋" w:hAnsi="仿宋" w:eastAsia="仿宋" w:cs="仿宋"/>
                <w:color w:val="000000"/>
                <w:sz w:val="24"/>
                <w:szCs w:val="24"/>
                <w:lang w:eastAsia="zh-CN"/>
              </w:rPr>
            </w:pPr>
            <w:r>
              <w:rPr>
                <w:rFonts w:hint="eastAsia" w:ascii="仿宋" w:hAnsi="仿宋" w:eastAsia="仿宋" w:cs="仿宋"/>
                <w:sz w:val="24"/>
                <w:szCs w:val="24"/>
                <w:lang w:eastAsia="zh-CN"/>
              </w:rPr>
              <w:t>支撑材料清单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restart"/>
            <w:vAlign w:val="center"/>
          </w:tcPr>
          <w:p>
            <w:pPr>
              <w:jc w:val="center"/>
              <w:rPr>
                <w:rFonts w:ascii="仿宋" w:hAnsi="仿宋" w:eastAsia="仿宋" w:cs="仿宋"/>
                <w:szCs w:val="24"/>
              </w:rPr>
            </w:pPr>
            <w:r>
              <w:rPr>
                <w:rFonts w:hint="eastAsia" w:ascii="仿宋" w:hAnsi="仿宋" w:eastAsia="仿宋" w:cs="仿宋"/>
                <w:szCs w:val="24"/>
              </w:rPr>
              <w:t>培养目标</w:t>
            </w:r>
          </w:p>
        </w:tc>
        <w:tc>
          <w:tcPr>
            <w:tcW w:w="1165" w:type="dxa"/>
            <w:vMerge w:val="restart"/>
            <w:vAlign w:val="center"/>
          </w:tcPr>
          <w:p>
            <w:pPr>
              <w:jc w:val="center"/>
              <w:rPr>
                <w:rFonts w:ascii="仿宋" w:hAnsi="仿宋" w:eastAsia="仿宋" w:cs="仿宋"/>
                <w:color w:val="000000"/>
                <w:szCs w:val="24"/>
              </w:rPr>
            </w:pPr>
            <w:r>
              <w:rPr>
                <w:rFonts w:hint="eastAsia" w:ascii="仿宋" w:hAnsi="仿宋" w:eastAsia="仿宋" w:cs="仿宋"/>
                <w:kern w:val="0"/>
                <w:szCs w:val="24"/>
              </w:rPr>
              <w:t>1.1目标定位</w:t>
            </w: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1.1-1</w:t>
            </w:r>
            <w:r>
              <w:rPr>
                <w:rFonts w:hint="eastAsia" w:ascii="仿宋" w:hAnsi="仿宋" w:eastAsia="仿宋" w:cs="仿宋"/>
                <w:szCs w:val="24"/>
              </w:rPr>
              <w:t>国家、地方教师教育政策、基础教育改革发展和教师队伍建设相关文件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1.1-2</w:t>
            </w:r>
            <w:r>
              <w:rPr>
                <w:rFonts w:hint="eastAsia" w:ascii="仿宋" w:hAnsi="仿宋" w:eastAsia="仿宋" w:cs="仿宋"/>
                <w:szCs w:val="24"/>
              </w:rPr>
              <w:t>吉首大学“十</w:t>
            </w:r>
            <w:r>
              <w:rPr>
                <w:rFonts w:hint="eastAsia" w:ascii="仿宋" w:hAnsi="仿宋" w:eastAsia="仿宋" w:cs="仿宋"/>
                <w:szCs w:val="24"/>
                <w:lang w:eastAsia="zh-CN"/>
              </w:rPr>
              <w:t>四</w:t>
            </w:r>
            <w:r>
              <w:rPr>
                <w:rFonts w:hint="eastAsia" w:ascii="仿宋" w:hAnsi="仿宋" w:eastAsia="仿宋" w:cs="仿宋"/>
                <w:szCs w:val="24"/>
              </w:rPr>
              <w:t>五”发展规划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1.1-3</w:t>
            </w:r>
            <w:r>
              <w:rPr>
                <w:rFonts w:hint="eastAsia" w:ascii="仿宋" w:hAnsi="仿宋" w:eastAsia="仿宋" w:cs="仿宋"/>
                <w:szCs w:val="24"/>
              </w:rPr>
              <w:t>数学与应用数学专业人才培养方案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1.1-4</w:t>
            </w:r>
            <w:r>
              <w:rPr>
                <w:rFonts w:hint="eastAsia" w:ascii="仿宋" w:hAnsi="仿宋" w:eastAsia="仿宋" w:cs="仿宋"/>
                <w:szCs w:val="24"/>
              </w:rPr>
              <w:t>数学与应用数学专业人才需求调研报告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1.1-5数学与应用数学专业毕业生服务区域中学教师队伍建设规划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1.1-6数学与应用数学专业建设规划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1.1-7吉首大学教师教育课程改革研究项目立项文件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1.1-8</w:t>
            </w:r>
            <w:r>
              <w:rPr>
                <w:rFonts w:hint="eastAsia" w:ascii="仿宋" w:hAnsi="仿宋" w:eastAsia="仿宋" w:cs="仿宋"/>
                <w:color w:val="000000" w:themeColor="text1"/>
                <w:szCs w:val="24"/>
                <w14:textFill>
                  <w14:solidFill>
                    <w14:schemeClr w14:val="tx1"/>
                  </w14:solidFill>
                </w14:textFill>
              </w:rPr>
              <w:t>近三学年数学与应用数学专业教学质量报告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1.1-9</w:t>
            </w:r>
            <w:r>
              <w:rPr>
                <w:rFonts w:hint="eastAsia" w:ascii="仿宋" w:hAnsi="仿宋" w:eastAsia="仿宋" w:cs="仿宋"/>
                <w:color w:val="000000" w:themeColor="text1"/>
                <w:szCs w:val="24"/>
                <w14:textFill>
                  <w14:solidFill>
                    <w14:schemeClr w14:val="tx1"/>
                  </w14:solidFill>
                </w14:textFill>
              </w:rPr>
              <w:t>数学与应用数学专业建设与人才培养成果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jc w:val="center"/>
              <w:rPr>
                <w:rFonts w:ascii="仿宋" w:hAnsi="仿宋" w:eastAsia="仿宋" w:cs="仿宋"/>
                <w:color w:val="000000"/>
                <w:szCs w:val="24"/>
              </w:rPr>
            </w:pPr>
            <w:r>
              <w:rPr>
                <w:rFonts w:hint="eastAsia" w:ascii="仿宋" w:hAnsi="仿宋" w:eastAsia="仿宋" w:cs="仿宋"/>
                <w:szCs w:val="24"/>
              </w:rPr>
              <w:t>1.2目标内涵</w:t>
            </w: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1.2-1</w:t>
            </w:r>
            <w:r>
              <w:rPr>
                <w:rFonts w:hint="eastAsia" w:ascii="仿宋" w:hAnsi="仿宋" w:eastAsia="仿宋" w:cs="仿宋"/>
                <w:szCs w:val="24"/>
              </w:rPr>
              <w:t>人才培养方案相关论证材料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 xml:space="preserve">1.2-2 </w:t>
            </w:r>
            <w:r>
              <w:rPr>
                <w:rFonts w:hint="eastAsia" w:ascii="仿宋" w:hAnsi="仿宋" w:eastAsia="仿宋" w:cs="仿宋"/>
                <w:szCs w:val="24"/>
              </w:rPr>
              <w:t>2019级数学与应用数学专业人才培养方案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1.2-3</w:t>
            </w:r>
            <w:r>
              <w:rPr>
                <w:rFonts w:hint="eastAsia" w:ascii="仿宋" w:hAnsi="仿宋" w:eastAsia="仿宋" w:cs="仿宋"/>
                <w:szCs w:val="24"/>
              </w:rPr>
              <w:t>培养目标达成度问卷材料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1.2-4</w:t>
            </w:r>
            <w:r>
              <w:rPr>
                <w:rFonts w:hint="eastAsia" w:ascii="仿宋" w:hAnsi="仿宋" w:eastAsia="仿宋" w:cs="仿宋"/>
                <w:szCs w:val="24"/>
              </w:rPr>
              <w:t>综合改革试点专业、一流本科专业、应用特色学科、科技创新团队、精品课程、一流课程材料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1.2-5</w:t>
            </w:r>
            <w:r>
              <w:rPr>
                <w:rFonts w:hint="eastAsia" w:ascii="仿宋" w:hAnsi="仿宋" w:eastAsia="仿宋" w:cs="仿宋"/>
                <w:szCs w:val="24"/>
              </w:rPr>
              <w:t>数学与应用数学专业培养目标宣传途径有关材料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1.2-6</w:t>
            </w:r>
            <w:r>
              <w:rPr>
                <w:rFonts w:hint="eastAsia" w:ascii="仿宋" w:hAnsi="仿宋" w:eastAsia="仿宋" w:cs="仿宋"/>
                <w:szCs w:val="24"/>
              </w:rPr>
              <w:t>数学与应用数学专业人才需求调研报告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1.2-7</w:t>
            </w:r>
            <w:r>
              <w:rPr>
                <w:rFonts w:ascii="仿宋" w:hAnsi="仿宋" w:eastAsia="仿宋" w:cs="仿宋"/>
                <w:kern w:val="0"/>
                <w:szCs w:val="24"/>
              </w:rPr>
              <w:t xml:space="preserve"> </w:t>
            </w:r>
            <w:r>
              <w:rPr>
                <w:rFonts w:hint="eastAsia" w:ascii="仿宋" w:hAnsi="仿宋" w:eastAsia="仿宋" w:cs="仿宋"/>
                <w:color w:val="000000" w:themeColor="text1"/>
                <w:szCs w:val="24"/>
                <w14:textFill>
                  <w14:solidFill>
                    <w14:schemeClr w14:val="tx1"/>
                  </w14:solidFill>
                </w14:textFill>
              </w:rPr>
              <w:t>2019级数学与应用数学专业人才培养方案修订论证报告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1.2-8</w:t>
            </w:r>
            <w:r>
              <w:rPr>
                <w:rFonts w:hint="eastAsia" w:ascii="仿宋" w:hAnsi="仿宋" w:eastAsia="仿宋" w:cs="仿宋"/>
                <w:szCs w:val="24"/>
              </w:rPr>
              <w:t>近三学年数学与应用数学专业教学质量报告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 xml:space="preserve">1.2-9 </w:t>
            </w:r>
            <w:r>
              <w:rPr>
                <w:rFonts w:hint="eastAsia" w:ascii="仿宋" w:hAnsi="仿宋" w:eastAsia="仿宋" w:cs="仿宋"/>
                <w:szCs w:val="24"/>
              </w:rPr>
              <w:t>2019-2021届数学与应用数学专业毕业生就业质量报告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1.2-10</w:t>
            </w:r>
            <w:r>
              <w:rPr>
                <w:rFonts w:hint="eastAsia" w:ascii="仿宋" w:hAnsi="仿宋" w:eastAsia="仿宋" w:cs="仿宋"/>
                <w:szCs w:val="24"/>
              </w:rPr>
              <w:t>数学与应用数学专业外部评价调查报告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1.2-11</w:t>
            </w:r>
            <w:r>
              <w:rPr>
                <w:rFonts w:hint="eastAsia" w:ascii="仿宋" w:hAnsi="仿宋" w:eastAsia="仿宋" w:cs="仿宋"/>
                <w:szCs w:val="24"/>
              </w:rPr>
              <w:t>数学与应用数学专业建设与人才培养成果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jc w:val="center"/>
              <w:rPr>
                <w:rFonts w:ascii="仿宋" w:hAnsi="仿宋" w:eastAsia="仿宋" w:cs="仿宋"/>
                <w:color w:val="000000"/>
                <w:szCs w:val="24"/>
              </w:rPr>
            </w:pPr>
            <w:r>
              <w:rPr>
                <w:rFonts w:hint="eastAsia" w:ascii="仿宋" w:hAnsi="仿宋" w:eastAsia="仿宋" w:cs="仿宋"/>
                <w:color w:val="000000"/>
                <w:szCs w:val="24"/>
              </w:rPr>
              <w:t>1.3目标评价</w:t>
            </w: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1.3-1</w:t>
            </w:r>
            <w:r>
              <w:rPr>
                <w:rFonts w:hint="eastAsia" w:ascii="仿宋" w:hAnsi="仿宋" w:eastAsia="仿宋" w:cs="仿宋"/>
                <w:szCs w:val="24"/>
              </w:rPr>
              <w:t>数学与应用数学专业人才培养目标合理性评价及修订制度（试行）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1.3-2</w:t>
            </w:r>
            <w:r>
              <w:rPr>
                <w:rFonts w:hint="eastAsia" w:ascii="仿宋" w:hAnsi="仿宋" w:eastAsia="仿宋" w:cs="仿宋"/>
                <w:szCs w:val="24"/>
              </w:rPr>
              <w:t>培养目标合理性评价调研材料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 xml:space="preserve">1.3-3 </w:t>
            </w:r>
            <w:r>
              <w:rPr>
                <w:rFonts w:hint="eastAsia" w:ascii="仿宋" w:hAnsi="仿宋" w:eastAsia="仿宋" w:cs="仿宋"/>
                <w:szCs w:val="24"/>
              </w:rPr>
              <w:t>2019级数学与应用数学专业人才培养方案修订论证报告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 xml:space="preserve">1.3-4 </w:t>
            </w:r>
            <w:r>
              <w:rPr>
                <w:rFonts w:hint="eastAsia" w:ascii="仿宋" w:hAnsi="仿宋" w:eastAsia="仿宋" w:cs="仿宋"/>
                <w:color w:val="000000" w:themeColor="text1"/>
                <w:szCs w:val="24"/>
                <w14:textFill>
                  <w14:solidFill>
                    <w14:schemeClr w14:val="tx1"/>
                  </w14:solidFill>
                </w14:textFill>
              </w:rPr>
              <w:t>2019级数学与应用数学专业培养方案合理性评价调查报告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jc w:val="left"/>
              <w:rPr>
                <w:rFonts w:ascii="仿宋" w:hAnsi="仿宋" w:eastAsia="仿宋" w:cs="仿宋"/>
                <w:color w:val="000000"/>
                <w:kern w:val="0"/>
                <w:szCs w:val="24"/>
              </w:rPr>
            </w:pPr>
            <w:r>
              <w:rPr>
                <w:rFonts w:hint="eastAsia" w:ascii="仿宋" w:hAnsi="仿宋" w:eastAsia="仿宋" w:cs="仿宋"/>
                <w:kern w:val="0"/>
                <w:szCs w:val="24"/>
              </w:rPr>
              <w:t xml:space="preserve">1.3-5 </w:t>
            </w:r>
            <w:r>
              <w:rPr>
                <w:rFonts w:hint="eastAsia" w:ascii="仿宋" w:hAnsi="仿宋" w:eastAsia="仿宋" w:cs="仿宋"/>
                <w:color w:val="000000" w:themeColor="text1"/>
                <w:szCs w:val="24"/>
                <w14:textFill>
                  <w14:solidFill>
                    <w14:schemeClr w14:val="tx1"/>
                  </w14:solidFill>
                </w14:textFill>
              </w:rPr>
              <w:t>2019级数学与应用数学专业人才培养方案修订记录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restart"/>
            <w:vAlign w:val="center"/>
          </w:tcPr>
          <w:p>
            <w:pPr>
              <w:jc w:val="center"/>
              <w:rPr>
                <w:rFonts w:ascii="仿宋" w:hAnsi="仿宋" w:eastAsia="仿宋" w:cs="仿宋"/>
                <w:szCs w:val="24"/>
              </w:rPr>
            </w:pPr>
            <w:r>
              <w:rPr>
                <w:rFonts w:hint="eastAsia" w:ascii="仿宋" w:hAnsi="仿宋" w:eastAsia="仿宋" w:cs="仿宋"/>
                <w:szCs w:val="24"/>
              </w:rPr>
              <w:t>毕业要求</w:t>
            </w: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2.0毕业要求落实评价</w:t>
            </w:r>
          </w:p>
        </w:tc>
        <w:tc>
          <w:tcPr>
            <w:tcW w:w="6831" w:type="dxa"/>
            <w:vAlign w:val="center"/>
          </w:tcPr>
          <w:p>
            <w:pPr>
              <w:widowControl/>
              <w:jc w:val="left"/>
              <w:textAlignment w:val="bottom"/>
              <w:rPr>
                <w:rFonts w:ascii="仿宋" w:hAnsi="仿宋" w:eastAsia="仿宋" w:cs="仿宋"/>
                <w:color w:val="000000"/>
                <w:kern w:val="0"/>
                <w:szCs w:val="24"/>
              </w:rPr>
            </w:pPr>
            <w:r>
              <w:rPr>
                <w:rFonts w:hint="eastAsia" w:ascii="仿宋" w:hAnsi="仿宋" w:eastAsia="仿宋" w:cs="仿宋"/>
                <w:color w:val="000000"/>
                <w:kern w:val="0"/>
                <w:szCs w:val="24"/>
                <w:lang w:bidi="ar"/>
              </w:rPr>
              <w:t>2.0-1毕业要求制定的文件与规定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bottom"/>
              <w:rPr>
                <w:rFonts w:ascii="仿宋" w:hAnsi="仿宋" w:eastAsia="仿宋" w:cs="仿宋"/>
                <w:color w:val="000000"/>
                <w:kern w:val="0"/>
                <w:szCs w:val="24"/>
              </w:rPr>
            </w:pPr>
            <w:r>
              <w:rPr>
                <w:rFonts w:hint="eastAsia" w:ascii="仿宋" w:hAnsi="仿宋" w:eastAsia="仿宋" w:cs="仿宋"/>
                <w:color w:val="000000"/>
                <w:kern w:val="0"/>
                <w:szCs w:val="24"/>
                <w:lang w:bidi="ar"/>
              </w:rPr>
              <w:t>2.0-2毕业要求分析制定过程的记录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widowControl/>
              <w:jc w:val="left"/>
              <w:textAlignment w:val="bottom"/>
              <w:rPr>
                <w:rFonts w:ascii="仿宋" w:hAnsi="仿宋" w:eastAsia="仿宋" w:cs="仿宋"/>
                <w:color w:val="000000"/>
                <w:kern w:val="0"/>
                <w:szCs w:val="24"/>
              </w:rPr>
            </w:pPr>
            <w:r>
              <w:rPr>
                <w:rFonts w:hint="eastAsia" w:ascii="仿宋" w:hAnsi="仿宋" w:eastAsia="仿宋" w:cs="仿宋"/>
                <w:color w:val="000000"/>
                <w:kern w:val="0"/>
                <w:szCs w:val="24"/>
                <w:lang w:bidi="ar"/>
              </w:rPr>
              <w:t>2.0-3学校毕业要求合理性评价及达成情况评价实施办法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widowControl/>
              <w:jc w:val="left"/>
              <w:textAlignment w:val="bottom"/>
              <w:rPr>
                <w:rFonts w:ascii="仿宋" w:hAnsi="仿宋" w:eastAsia="仿宋" w:cs="仿宋"/>
                <w:color w:val="000000"/>
                <w:kern w:val="0"/>
                <w:szCs w:val="24"/>
              </w:rPr>
            </w:pPr>
            <w:r>
              <w:rPr>
                <w:rFonts w:hint="eastAsia" w:ascii="仿宋" w:hAnsi="仿宋" w:eastAsia="仿宋" w:cs="仿宋"/>
                <w:color w:val="000000"/>
                <w:kern w:val="0"/>
                <w:szCs w:val="24"/>
                <w:lang w:bidi="ar"/>
              </w:rPr>
              <w:t>2.0-4学院毕业要求达成情况评价实施细则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rPr>
            </w:pPr>
          </w:p>
        </w:tc>
        <w:tc>
          <w:tcPr>
            <w:tcW w:w="1165" w:type="dxa"/>
            <w:vMerge w:val="continue"/>
            <w:vAlign w:val="center"/>
          </w:tcPr>
          <w:p>
            <w:pPr>
              <w:widowControl/>
              <w:jc w:val="center"/>
              <w:rPr>
                <w:rFonts w:ascii="仿宋" w:hAnsi="仿宋" w:eastAsia="仿宋" w:cs="仿宋"/>
                <w:color w:val="000000"/>
                <w:kern w:val="0"/>
                <w:szCs w:val="24"/>
              </w:rPr>
            </w:pPr>
          </w:p>
        </w:tc>
        <w:tc>
          <w:tcPr>
            <w:tcW w:w="6831" w:type="dxa"/>
            <w:vAlign w:val="center"/>
          </w:tcPr>
          <w:p>
            <w:pPr>
              <w:widowControl/>
              <w:jc w:val="left"/>
              <w:textAlignment w:val="bottom"/>
              <w:rPr>
                <w:rFonts w:ascii="仿宋" w:hAnsi="仿宋" w:eastAsia="仿宋" w:cs="仿宋"/>
                <w:color w:val="000000"/>
                <w:kern w:val="0"/>
                <w:szCs w:val="24"/>
              </w:rPr>
            </w:pPr>
            <w:r>
              <w:rPr>
                <w:rFonts w:hint="eastAsia" w:ascii="仿宋" w:hAnsi="仿宋" w:eastAsia="仿宋" w:cs="仿宋"/>
                <w:color w:val="000000"/>
                <w:kern w:val="0"/>
                <w:szCs w:val="24"/>
                <w:lang w:bidi="ar"/>
              </w:rPr>
              <w:t>2.0-5毕业要求公开渠道和方式的证据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2.1师德规范</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2.1-1师德规范达成度评价分析报告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2.1-3师德规范评价依据合理性审核表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2.1-5近三年师德规范主题教育活动记录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2.1-6近三年学生参与师德规范主题教育活动情况分析报告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2.1-7调查问卷及调查结果分析报告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2.1-8近三年学生参加志愿者服务、社会实践活动情况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2.1-9师德规范培养持续改进报告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2.1-10数学与统计学院“课程思政”实施方案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2.2教育情怀</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2.2-1教育情怀达成度评价分析报告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2.2-2基于课程的达成度计算表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2.2-3教育情怀评价依据合理性审核表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2.2-4课程考试（考查）过程性文档材料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2.2-5近三年教育情怀主题教育活动记录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2.2-6近三年学生参与教育情怀主题教育活动情况分析报告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2.2-7调查问卷及调查结果分析报告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2.2-8近三届毕业生从事教育工作的情况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2.2-9教育情怀培养持续改进报告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2.2-10第二课堂支撑教育情怀活动材料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2.3学科素养</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2.3-1学科素养达成度评价分析报告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2.3-2基于课程的达成度计算表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2.3-3教育情怀评价依据合理性审核表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2.3-4课程考试（考查）过程性文档材料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2.3-5近三年学生参与大学创新活动、教师科研、学科竞赛情况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2.3-6调查问卷及调查结果分析报告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2.3-7学科素养培养持续改进报告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2.3-8数学与统计学院关于加强课程教学方法改革的实施意见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2.4教育能力</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2.4-1教育能力达成度评价分析报告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2.4-3教育情怀评价依据合理性审核表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2.4-5近三年学生师范技能考核情况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2.4-6调查问卷及调查结果分析报告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2.4-7教育能力培养持续改进报告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2.5班级指导</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2.5-1班级指导达成度评价分析报告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2.5-2基于课程的达成度计算表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2.5-3班级指导评价依据合理性审核表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2.5-4课程考试（考查）过程性文档材料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2.5-5调查问卷及调查结果分析报告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2.5-6班级指导培养持续改进报告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2.5-7邀请中学一线教师做班级管理主题报告情况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2.6综合育人</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2.6-1综合育人达成度评价分析报告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2.6-3综合育人评价依据合理性审核表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2.6-5近三年学生综合测评考核材料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2.6-6调查问卷及调查结果分析报告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2.6-7综合测评培养持续改进报告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2.7学会反思</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2.7-1学会反思达成度评价分析报告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2.7-2基于课程的达成度计算表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2.7-3学会反思评价依据合理性审核表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2.7-4课程考试（考查）过程性文档材料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2.7-5教育研习情况分析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2.7-6调查问卷及调查结果分析报告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2.7-7学会反思培养持续改进报告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2.8沟通合作</w:t>
            </w: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2.8-1沟通合作达成度评价分析报告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2.8-2基于课程的达成度计算表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2.8-3沟通合作评价依据合理性审核表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2.8-4课程考试（考查）过程性文档材料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2.8-5近三年学生小组合作学习情况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2.8-6调查问卷及调查结果分析报告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rPr>
            </w:pPr>
          </w:p>
        </w:tc>
        <w:tc>
          <w:tcPr>
            <w:tcW w:w="6831" w:type="dxa"/>
            <w:vAlign w:val="center"/>
          </w:tcPr>
          <w:p>
            <w:pPr>
              <w:widowControl/>
              <w:jc w:val="left"/>
              <w:rPr>
                <w:rFonts w:ascii="仿宋" w:hAnsi="仿宋" w:eastAsia="仿宋" w:cs="仿宋"/>
                <w:color w:val="000000"/>
                <w:kern w:val="0"/>
                <w:szCs w:val="24"/>
              </w:rPr>
            </w:pPr>
            <w:r>
              <w:rPr>
                <w:rFonts w:hint="eastAsia" w:ascii="仿宋" w:hAnsi="仿宋" w:eastAsia="仿宋" w:cs="仿宋"/>
                <w:color w:val="000000"/>
                <w:kern w:val="0"/>
                <w:szCs w:val="24"/>
                <w:lang w:bidi="ar"/>
              </w:rPr>
              <w:t>2.8-7沟通合作培养持续改进报告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课程与教学</w:t>
            </w: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3.1课程设置</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3.1-1 学校关于培养方案修订的制度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3.1-2 2019版和2022版专业人才培养方案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3.1-3 用于评价毕业要求达成情况的相关课程的教学大纲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3.2课程结构</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3.2-1 数学与应用数学专业课程建设规划、制度及学分管理办法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3.2-2 关于学生选课的制度文件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3.2-3 课程结构总体框架以及培养方案有关课程结构修订的论证材料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3.3课程内容</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3.3-1 有关规范优化课程内容及更新调整的制度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3.3-2 教材建设与管理制度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3.3-3 课程教学大纲与教案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3.3-4 专业优秀中学教学案例列表及使用情况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3.4课程实施</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3.4-1 课堂教学建设和管理制度文件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3.4-2 课程教学方式改革的制度与措施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3.4-3 教学大纲制订、修订与审核制度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3.4-4 教师、教研组、专业三个层面指导、研讨、分析、论证、修订教学大纲过程档案材料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3.4-5 各类课程主要教学方法列表及教案等相关证据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3.4-6 课堂教学内容、教学方式方法、考核内容方式改革经验材料，典型案例与教学成果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3.5课程评价</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3.5-1 学校课程体系合理性评价与课程目标达成情况评价实施办法，及院系相关实施细则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3.5-2 课程目标达成情况评价审核制度文件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3.5-3 专业核心课程教学大纲、教案、过程性与结果性考核资料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3.5-4课程目标达成评价报告，及其评价依据合理性审核记录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3.5-5近三年用人单位、师范毕业生等利益相关方参与课程体系评价与修订的记录性材料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合作与实践</w:t>
            </w: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4.1协同育人</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4.1-1院校两级与地方政府、教育局、中学签订的院校合作协议书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4.1-2湖南中学教师教育联盟成立情况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4.1-3联盟中学校长、中学教师来校担任学业导师和技能培训情况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4.1-4本专业教师到中学挂职实践情况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4.1-5近三年学院承担“国培”情况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4.1-6协同育人工作学生获奖情况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4.2基地建设</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4.2-1数学与应用数学专业教育实习基地一览表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4.2-2吉首大学教育实习工作管理条例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4.2-3吉首大学校外实习教学基地建设管理办法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4.2-4数学与统计学院教育实习及实习基地管理实施细则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4.2-5学生教育实习相关材料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4.2-6已签约的实习基地协议书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4.3实践教学</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4.3-1吉首大学师范生教育实习工作方案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4.3-2学生第二课堂情况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4.3-3学生“三下乡”社会活动情况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4.3-4学生教学技能竞赛、大学生数学建模获奖情况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4.3-5数学与应用数学专业教育实践大纲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4.3-6吉首大学学生实习手册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4.4导师队伍</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4.4-1数学与统计学院“双导师”制度实施办法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4.4-2数学与应用数学专业校内指导老师一览表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4.4-3数学与应用数学专业校外指导老师一览表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4.4-4吉首大学实习工作量计算与考核办法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4.4-5数学与应用数学专业优秀校外指导老师情况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4.4-6教育实践“双导师”的工作记录、成效评价等材料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pStyle w:val="6"/>
              <w:autoSpaceDE w:val="0"/>
              <w:autoSpaceDN w:val="0"/>
              <w:adjustRightInd w:val="0"/>
              <w:ind w:left="0"/>
              <w:jc w:val="center"/>
              <w:rPr>
                <w:rFonts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4.5管理评价</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4.5-1吉首大学师范生教育实践成绩考评办法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4.5-2吉首大学“优秀实习生”评选办法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4.5-3师范生在中学教育见习、实习、研习实践活动过程性材料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4.5-4数学与统计学院教育实习及实习基地管理实施细则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4.5-5数学与统计学院关于本科毕业生毕业论文工作及论文答辩的相关规定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4.5-6教育实习相关材料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4.5-7数学与统计学院情况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4.5-8实习生教育实践能力达成情况评价与改进报告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师资队伍</w:t>
            </w: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5.1数量结构</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5.1-1吉首大学事业发展“十三五”规划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5.1-2吉首大学“十三五”师资队伍建设规划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5.1-3关于进一步加强师资队伍建设的若干意见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5.1-4数学与统计学院“十三五”师资队伍建设规划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5.1-5吉首大学外聘教师管理暂行办法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5.1-6数学与统计学院兼职教师聘任与管理办法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5.1-7数学与应用数学专业2019级至2021级学生名册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5.1-8数学与应用数学专业专任教师基本情况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5.1-9数学与应用数学专业教师教育课程专任教师基本情况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5.1-10数学与应用数学专业外聘教师基本情况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5.1-11数学与应用数学专业中学兼职教师基本情况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5.1-12关于进一步落实教授、副教授为本科生授课工作的规定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widowControl/>
              <w:jc w:val="center"/>
              <w:rPr>
                <w:rFonts w:ascii="仿宋" w:hAnsi="仿宋" w:eastAsia="仿宋" w:cs="仿宋"/>
                <w:color w:val="000000"/>
                <w:kern w:val="0"/>
                <w:szCs w:val="24"/>
                <w:lang w:bidi="ar"/>
              </w:rPr>
            </w:pPr>
          </w:p>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5.1-13近三年专任教师为数学与应用数学专业学生授课课表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5.2素质能力</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5.2-1吉首大学关于进一步加强师德师风建设的若干规定（修订）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5.2-2数学与统计学院师德规范建设实施办法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5.2-3吉首大学高层次人才引进实施办法（修订）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5.2-4吉首大学绩效工资实施办法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5.2-5吉首大学“优课优酬”实施办法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5.2-6吉首大学教学工作奖励办法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5.2-7吉首大学教师进修培训与学历提升管理办法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5.2-8数学与统计学院奖励性绩效分配办法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5.2-9吉首大学青年教师导师制实施办法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5.2-10近三年专任教师指导学生参加学科竞赛获奖情况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5.2-11近三年专任教师指导大学生创新创业训练计划项目立项情况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5.2-12近三年专任教师的教学获奖情况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5.2-13近三年专任教师的科研获奖情况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5.2-14近三年专任教师主持的科研项目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5.2-15近三年专任教师发表的科研论文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5.2-16近三年专任教师主持的教改项目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5.2-17近三年专任教师发表的教改论文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5.2-18近三年专任教师出版的教材与专著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5.2-19近三年专任教师的评教结果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5.3实践经历</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5.3-1吉首大学选派教师到企事业单位挂职锻炼管理暂行办法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5.3-2吉首大学高校教师系列专业技术职称评审工作实施办法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5.3-3教师教育课程教师深入中学教育挂职实践锻炼情况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5.3-4数学与统计学院师范生教育实践“双导师制”实施办法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5.3-5近五年专任教师获得省部级以上教学成果奖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5.3-6近五年专任教师出版的教材与专著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5.3-7近五年专任教师主持的省级及以上教改项目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5.4持续发展</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5.4-1数学与统计学院学科团队建设计划实施办法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5.4-2吉首大学“人才支持计划”实施办法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5.4-3吉首大学科技工作绩效管理办法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5.4-4吉首大学学术交流活动及经费管理办法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5.4-5吉首大学科研项目经费配套暂行办法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5.4-6吉首大学横向科研经费管理暂行办法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5.4-7吉首大学关于加强课堂教学管理的规定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5.4-8吉首大学教师课堂教学质量评估方案（修订）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5.4-9吉首大学教学工作奖励办法（修订稿）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5.4-10吉首大学“教师教学奖”评选办法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5.4-11吉首大学岗位设置实施方案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5.4-12吉首大学岗位设置与聘用补充规定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支持条件</w:t>
            </w: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6.1经费保障</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6.1-1吉首大学关于进一步加强专业建设的指导意见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6.1-2吉首大学一流本科专业建设实施方案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6.1-3卓越教师培养计划实施方案(试行)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6.1-4数学与应用数学专业生均教学日常运行支出和生均教育实践经费统计表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6.1-5数学与应用数学专业生均教学日常运行支出和生均教育实践经费支出预决算表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6.1-6近三年教学设施设备更新经费标准及执行情况相关材料(投入和招标合同以及建设的实验室一览表等)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6.1-7近三年图书资料采购情况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6.2设施保障</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6.2-1数学与应用数学专业实验室配置情况一览表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6.2-2信息化教育教学设施情况一览表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6.2-3数字化教学资源情况一览表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6.2-4数学与应用数学专业实验实训课程教学大纲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6.2-5数学与应用数学专业实验课程开设情况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6.2-6吉首大学实验室安全管理办法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6.2-7吉首大学实验室开放管理办法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6.2-8数学与统计学院实验室教学管理制度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6.2-9数学与统计学院实验室管理人员岗位职责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6.2-10实训平台和信息化教育教学设施的管理制度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6.2-11实训平台和信息化教育教学设施维修更新记录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6.2-12实训平台和信息化教育教学设施学生使用情况一览表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6.2-13实训平台和信息化教育教学设施建设与使用分析报告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6.2-14数学与统计学院实验室对外开放使用情况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6.3资源保障</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6.3-1教学资源和数字化资源管理制度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6.3-2吉首大学图书馆借阅规则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6.3-3现有生均图书、教育类纸质图书、中学各科课程标准和教材统计表和使用情况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6.3-4教材资源库和教学案例库资源库情况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6.3-5中学数学教育学生必读、选读书目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质量保障</w:t>
            </w:r>
          </w:p>
        </w:tc>
        <w:tc>
          <w:tcPr>
            <w:tcW w:w="1165" w:type="dxa"/>
            <w:vMerge w:val="restart"/>
            <w:vAlign w:val="center"/>
          </w:tcPr>
          <w:p>
            <w:pPr>
              <w:jc w:val="center"/>
              <w:rPr>
                <w:rFonts w:ascii="仿宋" w:hAnsi="仿宋" w:eastAsia="仿宋" w:cs="仿宋"/>
                <w:b/>
                <w:kern w:val="0"/>
                <w:szCs w:val="24"/>
              </w:rPr>
            </w:pPr>
            <w:r>
              <w:rPr>
                <w:rFonts w:hint="eastAsia" w:ascii="仿宋" w:hAnsi="仿宋" w:eastAsia="仿宋" w:cs="仿宋"/>
                <w:b/>
                <w:kern w:val="0"/>
                <w:szCs w:val="24"/>
              </w:rPr>
              <w:t>7.1保障</w:t>
            </w:r>
          </w:p>
          <w:p>
            <w:pPr>
              <w:jc w:val="center"/>
              <w:rPr>
                <w:rFonts w:ascii="仿宋" w:hAnsi="仿宋" w:eastAsia="仿宋" w:cs="仿宋"/>
                <w:color w:val="000000"/>
                <w:kern w:val="0"/>
                <w:szCs w:val="24"/>
                <w:lang w:bidi="ar"/>
              </w:rPr>
            </w:pPr>
            <w:r>
              <w:rPr>
                <w:rFonts w:hint="eastAsia" w:ascii="仿宋" w:hAnsi="仿宋" w:eastAsia="仿宋" w:cs="仿宋"/>
                <w:b/>
                <w:kern w:val="0"/>
                <w:szCs w:val="24"/>
              </w:rPr>
              <w:t>体系</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1、学校和院系教学质量保障体系建设的制度文件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 校教学指导委员会名单及相关文件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 《关于成立教学督导团的通知》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 数学与统计学院教学指导委员会名单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 数学与统计学院教学督导委员会名单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 数学与统计学院教学督导工作制度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 2019级数学与应用数学专业人才培养方案和修订记录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7.1-7数学与应用数学专业课程大纲及修订记录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2、主要教学环节质量要求标准文件及运行过程文档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7.1-8吉首大学主要教学环节质量标准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7.1-9吉首大学本科人才培养方案管理办法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7.1-10数学与统计学院质量保障体系建设的相关会议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7.1-11吉首大学本科人才培养方案管理办法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7.1-12关于修订修订2019级本科专业人才培养方案的指导性意见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7.1-13吉首大学教师课堂准入的教学文件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7.1-14新进教师岗前教学培训记录与培训证书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7.1-15吉首大学青年教师导师制实施办法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7.1-16青年教师导师指导记录（听课记录本）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7.1-17吉首大学教材选用管理办法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7.1-18吉首大学自编教材管理办法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7.1-19数学与应用数学专业课程教材预订清单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7.1-20数学与应用数学专业课程授课计划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7.1-21近三年数学与应用数学专业课程教案、教研室活动记录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7.1-22吉首大学关于加强课堂教学管理的规定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7.1-23课堂教学质量评价与处理办法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7.1-24吉首大学教师教学工作规范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7.1-25吉首大学课堂教学示范课观摩暨研讨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7.1-26吉首大学听课制度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7.1-27教学督导、院领导、专任教师听课记录、期中座谈会总结材料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7.1-28学工办课堂查课记录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7.1-29数学与应用数学专业学生期中/期中座谈会总结材料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7.1-30数学与统计学院答疑安排表和答疑记录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7.1-31数学与应用数学专业课程平时成绩登记册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7.1-32数学与应用数学专业部分学生作业本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7.1-33吉首大学全日制普通本科实验教学管理规定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7.1-34吉首大学实验教学工作规范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7.1-35数学与统计学院实验室教学管理制度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7.1-36数学与应用数学实验课程的实验报告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7.1-37数学与应用数学实验课程成绩单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7.1-38</w:t>
            </w:r>
            <w:bookmarkStart w:id="0" w:name="_GoBack"/>
            <w:bookmarkEnd w:id="0"/>
            <w:r>
              <w:rPr>
                <w:rFonts w:hint="eastAsia" w:ascii="仿宋" w:hAnsi="仿宋" w:eastAsia="仿宋" w:cs="仿宋"/>
                <w:color w:val="000000"/>
                <w:kern w:val="0"/>
                <w:szCs w:val="24"/>
                <w:lang w:eastAsia="zh-CN" w:bidi="ar"/>
              </w:rPr>
              <w:t>吉首大学</w:t>
            </w:r>
            <w:r>
              <w:rPr>
                <w:rFonts w:hint="eastAsia" w:ascii="仿宋" w:hAnsi="仿宋" w:eastAsia="仿宋" w:cs="仿宋"/>
                <w:color w:val="000000"/>
                <w:kern w:val="0"/>
                <w:szCs w:val="24"/>
                <w:lang w:bidi="ar"/>
              </w:rPr>
              <w:t>课程考核管理办法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7.1-39</w:t>
            </w:r>
            <w:r>
              <w:rPr>
                <w:rFonts w:hint="eastAsia" w:ascii="仿宋" w:hAnsi="仿宋" w:eastAsia="仿宋" w:cs="仿宋"/>
                <w:color w:val="000000"/>
                <w:kern w:val="0"/>
                <w:szCs w:val="24"/>
                <w:lang w:eastAsia="zh-CN" w:bidi="ar"/>
              </w:rPr>
              <w:t>吉首大学</w:t>
            </w:r>
            <w:r>
              <w:rPr>
                <w:rFonts w:hint="eastAsia" w:ascii="仿宋" w:hAnsi="仿宋" w:eastAsia="仿宋" w:cs="仿宋"/>
                <w:color w:val="000000"/>
                <w:kern w:val="0"/>
                <w:szCs w:val="24"/>
                <w:lang w:bidi="ar"/>
              </w:rPr>
              <w:t>课程成绩管理办法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7.1-40数学与统计学院课程考核管理办法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7.1-41数学与统计学院课程成绩管理办法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7.1-42数学与统计学院关于加强考纪的管理条例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7.1-43数学与应用数学专业课程考试试卷存档资料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7.1-44数学与应用数学专业部分课程目标达成度评价报告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7.1-45吉首大学校外实习工作管理条例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7.1-46吉首大学校外实习教学基地建设管理办法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7.1-47近三年数学与应用数学专业学生实习安排一览表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7.1-48数学与应用数学专业实习资料存档资料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7.1-49吉首大学毕业论文（设计）管理规定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7.1-50数学与统计学院冠以本科毕业生毕业论文工作及论文达标的相关规定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7.1-51近三年数学与应用数学专业毕业论文题目一览表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7.1-52数学与应用数学专业优秀论文存档资料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7.1-53吉首大学本科教学档案归档规范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7.1-54吉首大学教学工作奖励办法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7.1-55本科教学质量与教学改革工程项目管理办法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7.1-56吉首大学在线开放课程建设应用与管理办法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7.1-57“教学新秀”评选办法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7.1-58吉首大学本科生校外修读课程管理暂行办法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7.1-59辅修专业及辅修专业学士学位教育管理暂行办法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7.1-60吉首大学大学生研究性学习和创新性实验计划项目实施管理办法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7.1-61吉首大学学科竞赛管理办法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7.1-62吉首大学教学事故认定与处理办法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7.1-63数学与统计学院教学常规管理规程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7.1-64数学与统计学院教学工作条例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7.1-65关于进一步加强教学管理，切实提高教学质量的实施意见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7.1-66数学与统计学院调课的规定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7.1-67数学与统计学院教师听课制度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7.1-68数学与统计学院教学检查管理办法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7.1-69数学与统计学院关于本科毕业生毕业论文工作及论文答辩的相关规定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7.1-70数学与统计学院教学文件资料管理规定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7.1-71数学与统计学院关于加强课程教学方法改革的实施意见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7.1-72数学与统计学院课程考核方法改革实施办法(试行)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7.1-73 2019-202</w:t>
            </w:r>
            <w:r>
              <w:rPr>
                <w:rFonts w:ascii="仿宋" w:hAnsi="仿宋" w:eastAsia="仿宋" w:cs="仿宋"/>
                <w:color w:val="000000"/>
                <w:kern w:val="0"/>
                <w:szCs w:val="24"/>
                <w:lang w:bidi="ar"/>
              </w:rPr>
              <w:t>1</w:t>
            </w:r>
            <w:r>
              <w:rPr>
                <w:rFonts w:hint="eastAsia" w:ascii="仿宋" w:hAnsi="仿宋" w:eastAsia="仿宋" w:cs="仿宋"/>
                <w:color w:val="000000"/>
                <w:kern w:val="0"/>
                <w:szCs w:val="24"/>
                <w:lang w:bidi="ar"/>
              </w:rPr>
              <w:t>年度数学与统计学院教学工作总结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7.1-74数学与统计学院质量保障体系建设的相关会议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b/>
                <w:kern w:val="0"/>
                <w:szCs w:val="24"/>
              </w:rPr>
            </w:pPr>
            <w:r>
              <w:rPr>
                <w:rFonts w:hint="eastAsia" w:ascii="仿宋" w:hAnsi="仿宋" w:eastAsia="仿宋" w:cs="仿宋"/>
                <w:b/>
                <w:kern w:val="0"/>
                <w:szCs w:val="24"/>
              </w:rPr>
              <w:t>7.2内部</w:t>
            </w:r>
          </w:p>
          <w:p>
            <w:pPr>
              <w:jc w:val="center"/>
              <w:rPr>
                <w:rFonts w:ascii="仿宋" w:hAnsi="仿宋" w:eastAsia="仿宋" w:cs="仿宋"/>
                <w:color w:val="000000"/>
                <w:kern w:val="0"/>
                <w:szCs w:val="24"/>
                <w:lang w:bidi="ar"/>
              </w:rPr>
            </w:pPr>
            <w:r>
              <w:rPr>
                <w:rFonts w:hint="eastAsia" w:ascii="仿宋" w:hAnsi="仿宋" w:eastAsia="仿宋" w:cs="仿宋"/>
                <w:b/>
                <w:kern w:val="0"/>
                <w:szCs w:val="24"/>
              </w:rPr>
              <w:t>监控</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1、教学过程质量监控过程的原始记录文档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7.2-1吉首大学教学指导委员会工作章程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7.2-2吉首大学校级教学委员会名单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7.2-3吉首大学教学督导工作计划与工作总结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7.2-4近三年校级教学督导的教学反馈材料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7.2-5吉首大学教学质量监控与保障条例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7.2-6数学与统计学院教学质量监控会议记录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7.2-7近三年数学与统计学院教学督导名单一览表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7.2-8数学与统计学院教学督导工作计划与工作总结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7.2-9近三年数学与统计学院教学指导委员会名单一览表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7.2-10数学与统计学院教学指导委员会工作记录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7.2-11关于修订2019级本科专业人才培养方案的指导性意见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7.2-12</w:t>
            </w:r>
            <w:r>
              <w:rPr>
                <w:rFonts w:ascii="仿宋" w:hAnsi="仿宋" w:eastAsia="仿宋" w:cs="仿宋"/>
                <w:color w:val="000000"/>
                <w:kern w:val="0"/>
                <w:szCs w:val="24"/>
                <w:lang w:bidi="ar"/>
              </w:rPr>
              <w:t xml:space="preserve"> </w:t>
            </w:r>
            <w:r>
              <w:rPr>
                <w:rFonts w:hint="eastAsia" w:ascii="仿宋" w:hAnsi="仿宋" w:eastAsia="仿宋" w:cs="仿宋"/>
                <w:color w:val="000000"/>
                <w:kern w:val="0"/>
                <w:szCs w:val="24"/>
                <w:lang w:bidi="ar"/>
              </w:rPr>
              <w:t>2019级科专业人才培养方案修订的相关材料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7.2-13关于教学大纲制定、修订及审查的规定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7.2-14数学与应用数学专业课程教学大纲的修订及其相关记录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7.2-15近三年数学与应用数学专业新进教师的岗前培训记录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7.2-16近三年数学与应用数学专业新进教师的导师一览表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7.2-17近三年数学与应用数学专业新进青年教师的导师指导记录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7.2-18近三年数学与应用数学专业课程教材预订清单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7.2-19近三年数学与应用数学专业课程授课计划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7.2-20近三年数学与应用数学专业课程教案、教研室活动记录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7.2-21近三年数学与统计学院课堂教学示范课观摩暨研讨记录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7.2-22近三年数学与统计学院教学新秀等教学比赛获奖一览表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7.2-23近三年数学与统计学院学期期初听课与座谈记录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7.2-24吉首大学排课、调（停）课管理办法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7.2-25近三年数学与统计学院调（停）课记录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7.2-26近三年数学与统计学院期中教学检查与座谈会总结材料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7.2-27教学督导、院领导、专任教师听课记录材料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7.2-28近三年数学与统计学院领导检查课堂教学材料记录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7.2-29近三年数学与统计学院学工办检查课堂教学材料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7.2-30近三年数学与统计学院答疑安排表和答疑记录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7.2-31近三年数学与统计学院部分作业本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7.2-32近三年数学与统计学院期末教学检查总结材料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7.2-33近三年数学与统计学院期末学生评教的材料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7.2-34学生评教材料；信息员反馈材料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7.2-35课堂教学学生意见反馈月报（原始材料）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7.2-36近三年数学与统计学院期末教师评学的材料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7.2-37吉首大学“优课优酬”实施办法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7.2-38近三年数学与统计学院“优课”名单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7.2-39近三年数学与应用数学专业实验课程的实验报告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7.2-40数学与应用数学专业部分课堂教学监控视频材料（U盘）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7.2-41近三年数学与应用数学专业课程的期中/期末考试安排一览表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7.2-42近三年数学与应用数学专业课程的试卷材料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7.2-43近三年数学与应用数学专业课程试卷文档修订（整改）记录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7.2-44近三年数学与应用数学专业部分课程的课程目标达成度分析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7.2-45近三年数学与应用数学专业学生实习安排表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7.2-46近三年数学与应用数学专业学生实习材料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7.2-47近三年数学与应用数学专业毕业论文题目一览表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7.2-48近三年数学与应用数学专业毕业论文文档修订（整改）记录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7.2-49近三年数学与应用数学专业毕业论文（设计）相似度检测结果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7.2-50近三年数学与应用数学专业毕业论文存档资料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7.2-51 2021年下学期数学与应用数学专业教学质量评价报告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2、近三年专业核心课程的课程目标达成情况评价报告，及其评价依据合理性审核记录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7.2-52数学与应用数学专业核心课程目标达成度评价办法（试行）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7.2-53数学与应用数学专业核心课程考核合理性评价表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7.2-54数学与应用数学专业核心课程目标达成情况评价报告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3、学校毕业要求达成情况评价实施办法，及院系实施细则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7.2-55数学与应用数学专业毕业要求达成度评价办法（试行）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7.2-56数学与应用数学专业毕业要求达成度计算方法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7.2-57毕业要求达成度评价结果及实施改进报告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4、学校课程目标达成情况评价实施办法，及院系实施细则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7.2-58吉首大学人才培养质量达成度评价管理办法（试行）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7.2-59数学与应用数学专业核心课程目标达成度评价办法（试行）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7.2-60数学与应用数学专业课程体系合理性评价办法（试行）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7.2-61数学与应用数学专业部分课程目标达成度评价报告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5、最近一次毕业要求达成评价过程的原始记录文档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7.2-62数学与应用数学专业毕业要求分指标点的达成度评价分析报告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7.2-63数学与应用数学专业毕业要求分指标点的基于课程的达成度计算表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7.2-64数学与应用数学专业毕业要求分指标点的调查结果分析报告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7.2-65数学与应用数学专业毕业要求分指标点持续改进报告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6、数学与应用数学专业毕业要求达成情况报告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7.2-66数学与应用数学专业毕业要求达成度评价分析报告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7.2-67数学与应用数学专业毕业要求持续改进报告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b/>
                <w:kern w:val="0"/>
                <w:szCs w:val="24"/>
              </w:rPr>
            </w:pPr>
            <w:r>
              <w:rPr>
                <w:rFonts w:hint="eastAsia" w:ascii="仿宋" w:hAnsi="仿宋" w:eastAsia="仿宋" w:cs="仿宋"/>
                <w:b/>
                <w:kern w:val="0"/>
                <w:szCs w:val="24"/>
              </w:rPr>
              <w:t>7.3</w:t>
            </w:r>
          </w:p>
          <w:p>
            <w:pPr>
              <w:jc w:val="center"/>
              <w:rPr>
                <w:rFonts w:ascii="仿宋" w:hAnsi="仿宋" w:eastAsia="仿宋" w:cs="仿宋"/>
                <w:color w:val="000000"/>
                <w:kern w:val="0"/>
                <w:szCs w:val="24"/>
                <w:lang w:bidi="ar"/>
              </w:rPr>
            </w:pPr>
            <w:r>
              <w:rPr>
                <w:rFonts w:hint="eastAsia" w:ascii="仿宋" w:hAnsi="仿宋" w:eastAsia="仿宋" w:cs="仿宋"/>
                <w:b/>
                <w:kern w:val="0"/>
                <w:szCs w:val="24"/>
              </w:rPr>
              <w:t>外部评价</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1、毕业生跟踪反馈的制度文件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7.3-1数学与统计学院毕业生跟踪反馈和社会评价实施办法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7.3-2吉首大学2021届毕业生就业质量年度报告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2、毕业生跟踪反馈的原始记录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7.3-3数学与统计学院2021届毕业生代表座谈会会议记录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7.3-4数学与统计学院2021届毕业生就业质量年度报告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7.3-5数学与统计学院校友座谈会材料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7.3-6数学与统计学院回访校友材料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7.3-7数学与统计学院毕业生跟踪调查问卷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7.3-8数学与应用数学专业毕业生跟踪反馈调研分析报告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3、社会评价机制的制度文件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7.3-9数学与统计学院毕业生跟踪反馈和社会评价实施办法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7.3-10“湖南中学教育联盟”相关文件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4、各类社会评价信息的原始记录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7.3-11用人单位等利益相关方对数学与应用数学专业毕业生的评价报告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7.3-12走访用人单位开展调研活动记录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7.3-13走访学生实习学校开展调研活动记录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7.3-14第三方机构对专业培养目标定位和培养目标的评价意见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7.3-15数学与统计学院学生家长座谈会会议记录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7.3-16中学教师教育联盟的座谈记录和分析材料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7.3-17数学与应用数学专业外部评价分析报告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5、学校培养目标达成情况评价实施办法及院系实施细则，培养目标达成情况评价报告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7.3-18数学与应用数学专业人才培养目标达成度评价办法（试行）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7.3-19数学与应用数学专业培养目标达成度评价分析报告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7.3-20数学与应用数学专业人才培养目标合理性评价及修订制度（试行）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7.3-21数学与应用数学专业人才培养目标合理性评价分析报告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p>
          <w:p>
            <w:pPr>
              <w:jc w:val="center"/>
              <w:rPr>
                <w:rFonts w:ascii="仿宋" w:hAnsi="仿宋" w:eastAsia="仿宋" w:cs="仿宋"/>
                <w:b/>
                <w:kern w:val="0"/>
                <w:szCs w:val="24"/>
              </w:rPr>
            </w:pPr>
            <w:r>
              <w:rPr>
                <w:rFonts w:hint="eastAsia" w:ascii="仿宋" w:hAnsi="仿宋" w:eastAsia="仿宋" w:cs="仿宋"/>
                <w:b/>
                <w:kern w:val="0"/>
                <w:szCs w:val="24"/>
              </w:rPr>
              <w:t>7.4</w:t>
            </w:r>
          </w:p>
          <w:p>
            <w:pPr>
              <w:jc w:val="center"/>
              <w:rPr>
                <w:rFonts w:ascii="仿宋" w:hAnsi="仿宋" w:eastAsia="仿宋" w:cs="仿宋"/>
                <w:b/>
                <w:kern w:val="0"/>
                <w:szCs w:val="24"/>
              </w:rPr>
            </w:pPr>
            <w:r>
              <w:rPr>
                <w:rFonts w:hint="eastAsia" w:ascii="仿宋" w:hAnsi="仿宋" w:eastAsia="仿宋" w:cs="仿宋"/>
                <w:b/>
                <w:kern w:val="0"/>
                <w:szCs w:val="24"/>
              </w:rPr>
              <w:t>持续</w:t>
            </w:r>
          </w:p>
          <w:p>
            <w:pPr>
              <w:jc w:val="center"/>
              <w:rPr>
                <w:rFonts w:ascii="仿宋" w:hAnsi="仿宋" w:eastAsia="仿宋" w:cs="仿宋"/>
                <w:color w:val="000000"/>
                <w:kern w:val="0"/>
                <w:szCs w:val="24"/>
                <w:lang w:bidi="ar"/>
              </w:rPr>
            </w:pPr>
            <w:r>
              <w:rPr>
                <w:rFonts w:hint="eastAsia" w:ascii="仿宋" w:hAnsi="仿宋" w:eastAsia="仿宋" w:cs="仿宋"/>
                <w:b/>
                <w:kern w:val="0"/>
                <w:szCs w:val="24"/>
              </w:rPr>
              <w:t>改进</w:t>
            </w: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1、评价结果用于专业持续改进的制度性文件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7.4-1吉首大学本科人才培养方案管理办法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7.4-2关于修订2019级本科专业人才培养方案的指导性意见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7.4-3数学与应用数学专业人才培养目标达成度评价办法（试行）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7.4-4数学与应用数学专业毕业要求达成度评价机制与方法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7.4-5数学与应用数学专业课程体系合理性评价实施办法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7.4-6数学与应用数学专业课程目标达成评价机制与办法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7.4-7数学与统计学院毕业生跟踪反馈和社会评价机制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7.4-8数学与统计学院课程质量评价和持续改进实施办法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7.4-9数学与统计学院专业持续改进管理办法（试行）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7.4-10吉首大学教师教学质量考评办法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2、最近一次关于培养目标、毕业要求、课程体系和课程目标的评价结果分析报告、评价结果用于反馈改进的过程记录，以及改进结果分析材料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7.4-11数学与应用数学专业培养目标合理性评价分析报告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7.4-12数学与应用数学专业培养目标达成度评价分析报告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7.4-13数学与应用数学专业培养目标修订的过程记录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7.4-14数学与应用数学专业毕业要求达成情况评价报告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7.4-15数学与应用数学专业课程目标达成度评价分析报告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7.4-16数学与应用数学专业课程目标分析和持续改进报告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7.4-17数学与应用数学专业课程质量分析及持续改进报告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7.4-18数学与统计学院毕业生跟踪反馈改进措施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7.4-19数学与应用数学专业教学效果评价分析和持续改进报告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7.4-20数学与统计学院人才培养方案及修订记录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7.4-21数学与应用数学专业（师范）培养目标预期达成调查问卷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7.4-22数学与统计学院院领导、督导专家听课反馈材料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7.4-23数学与统计学院2021届毕业生学生座谈会议记录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7.4-24 2021年度数学与应用数学专业校内外评价结果综合分析报告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7.4-25数学与应用数学专业2021届毕业生就业质量报告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7.4-26用人单位对数学与应用数学专业毕业生的满意度调查分析报告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7.4-27数学与应用数学专业毕业生质量跟踪调查分析报告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ascii="仿宋" w:hAnsi="仿宋" w:eastAsia="仿宋" w:cs="仿宋"/>
                <w:color w:val="000000"/>
                <w:kern w:val="0"/>
                <w:szCs w:val="24"/>
                <w:lang w:bidi="ar"/>
              </w:rPr>
            </w:pPr>
            <w:r>
              <w:rPr>
                <w:rFonts w:hint="eastAsia" w:ascii="仿宋" w:hAnsi="仿宋" w:eastAsia="仿宋" w:cs="仿宋"/>
                <w:color w:val="000000"/>
                <w:kern w:val="0"/>
                <w:szCs w:val="24"/>
                <w:lang w:bidi="ar"/>
              </w:rPr>
              <w:t>7.4-28外部评价促进教学改革的相关资料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restart"/>
            <w:vAlign w:val="center"/>
          </w:tcPr>
          <w:p>
            <w:pPr>
              <w:widowControl/>
              <w:jc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学生发展</w:t>
            </w:r>
          </w:p>
        </w:tc>
        <w:tc>
          <w:tcPr>
            <w:tcW w:w="1165" w:type="dxa"/>
            <w:vMerge w:val="restart"/>
            <w:vAlign w:val="center"/>
          </w:tcPr>
          <w:p>
            <w:pPr>
              <w:jc w:val="center"/>
              <w:rPr>
                <w:rFonts w:ascii="仿宋" w:hAnsi="仿宋" w:eastAsia="仿宋" w:cs="仿宋"/>
                <w:color w:val="000000"/>
                <w:kern w:val="0"/>
                <w:szCs w:val="24"/>
                <w:lang w:bidi="ar"/>
              </w:rPr>
            </w:pPr>
            <w:r>
              <w:rPr>
                <w:rFonts w:hint="eastAsia" w:ascii="仿宋" w:hAnsi="仿宋" w:eastAsia="仿宋" w:cs="仿宋"/>
                <w:b/>
                <w:kern w:val="0"/>
                <w:szCs w:val="24"/>
              </w:rPr>
              <w:t>8.1生源质量</w:t>
            </w: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8.1.1近三年吉首大学普通本科招生简章及招生计划表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8.1.2近三年数学与应用数学专业新生录取一览表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8.1.3近三年数学与应用数学专业生源质量分析报告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8.1.4近三年吉首大学招生章程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8.1.5近三年吉首大学招生宣传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8.1.6近三年数学与统计学院招生宣传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8.1.7近三年吉首大学招生就业工作总结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8.1.8近三年吉首大学学生奖助贷制度文件及助学金、绿色通道名单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8.1.9吉首大学普通全日制本科学生转专业管理办法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8.1.10数学与统计学院学生转专业工作方案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8.1.11近三年数学与应用数学专业学生流动情况一览表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8.1.12吉首大学卓越教师培养计划实施方案（试行）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8.1.13数学与统计学院卓越教师培养实施办法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8.1.13数学与统计学院卓越教师名单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color w:val="000000"/>
                <w:kern w:val="0"/>
                <w:szCs w:val="24"/>
                <w:lang w:bidi="ar"/>
              </w:rPr>
            </w:pPr>
            <w:r>
              <w:rPr>
                <w:rFonts w:hint="eastAsia" w:ascii="仿宋" w:hAnsi="仿宋" w:eastAsia="仿宋" w:cs="仿宋"/>
                <w:b/>
                <w:kern w:val="0"/>
                <w:szCs w:val="24"/>
              </w:rPr>
              <w:t>8.2学生需求</w:t>
            </w: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8.2.1数学与应用数学专业学情分析报告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8.2.2近三年数学与统计学院最希望学校做的三件事统计表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8.2.3近三年数学与应用数学专业学生、家长座谈会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8.2.4近三年数学与统计学院教学督导组报告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8.2.5数学与统计学院班级学业导师制实施方案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8.2.6近三年辅导员接待日登记表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8.2.7吉首大学学生教学信息员反馈制度及信息员名单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8.2.8吉首大学学生综合测评实施方案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8.2.9吉首大学学生德育考核细则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8.2.10吉首大学国家奖学金、国家励志奖学金、国家助学金、校级奖学金、校级经济困难补助评定办法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8.2.11吉首大学三好学生（标兵）、优秀学生干部评定办法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8.2.12吉首大学学生科技创新成果奖励机制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8.2.13数学与统计学院综合测评细则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8.2.14数学与统计学院班级量化成长目标实施办法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8.2.15数学与统计学院三好学生、优秀团员、优秀学生干部、先进团支部的评选办法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8.2.16数学与统计学院大学生课外学术科研活动管理办法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8.2.17数学与统计学院“师范技能”比赛方案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8.2.18吉首大学关于加快建设高水平本科教育全面提高人才培养能力的实施意见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8.2.19吉首大学关于本科专业人才培养方案修订的指导性意见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8.2.20吉首大学在线开放课程建设应用与管理办法（试行）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8.2.21吉首大学辅修专业及辅修专业学士学位教育管理暂行办法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8.2.22 吉首大学本科生校外修读课程管理暂行办法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8.2.23 吉首大学卓越教师培养计划实施方案（试行）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8.2.24 近三年数学与应用数学专业选修课程开设情况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8.2.25 近三年关于选拔免费师范生赴</w:t>
            </w:r>
            <w:r>
              <w:rPr>
                <w:rFonts w:hint="eastAsia" w:ascii="仿宋" w:hAnsi="仿宋" w:eastAsia="仿宋" w:cs="仿宋"/>
                <w:color w:val="000000"/>
                <w:kern w:val="0"/>
                <w:szCs w:val="24"/>
                <w:lang w:eastAsia="zh-CN" w:bidi="ar"/>
              </w:rPr>
              <w:t>中山大学</w:t>
            </w:r>
            <w:r>
              <w:rPr>
                <w:rFonts w:hint="eastAsia" w:ascii="仿宋" w:hAnsi="仿宋" w:eastAsia="仿宋" w:cs="仿宋"/>
                <w:color w:val="000000"/>
                <w:kern w:val="0"/>
                <w:szCs w:val="24"/>
                <w:lang w:bidi="ar"/>
              </w:rPr>
              <w:t>参加联合培养本科生项目的通知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8.2.26 近三年数学与统计学院学业导师、课程答疑、教师党员“一对一”帮扶、创新创业指导安排表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8.2.27 数学与统计学院卓越教师培养实施办法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8.2.28 近三年数学建模竞赛、数学竞赛、师范技能竞赛获奖名单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8.2.29 近三年数学与统计学院教育节、数学节、艺体节策划方案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8.2.30近三年数学与统计学院大学生创新创业训练项目立项一览表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8.2.31吉首大学非英语类语种学生外语课程修课管理办法（试行）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8.2.32吉首大学大学生创新学分认定管理办法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8.2.33吉首大学本科生第二课堂学分认定管理办法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8.2.34吉首大学本科学生创业教育、课外活动和社会实践学分实施办法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8.2.35吉首大学普通全日制本科学生转专业管理办法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8.2.36吉首大学师范生教师职业技能考核办法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8.2.37吉首大学学生社会实践（第二课堂）管理实施办法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8.2.37吉首大学校企联合培养管理办法（试行）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8.2.38数学与统计学院创新创业教育工作实施办法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8.2.39吉首大学数学与统计学院综合测评细则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color w:val="000000"/>
                <w:kern w:val="0"/>
                <w:szCs w:val="24"/>
                <w:lang w:bidi="ar"/>
              </w:rPr>
            </w:pPr>
            <w:r>
              <w:rPr>
                <w:rFonts w:hint="eastAsia" w:ascii="仿宋" w:hAnsi="仿宋" w:eastAsia="仿宋" w:cs="仿宋"/>
                <w:b/>
                <w:kern w:val="0"/>
                <w:szCs w:val="24"/>
              </w:rPr>
              <w:t>8.3学生成长指导</w:t>
            </w: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8.3.1学校师范生指导与服务体系介绍材料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8.3.2近三年数学与统计学院“学习五分钟”材料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8.3.3近三年数学与统计学院团日活动材料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8.3.4近三年数学与统计学院党日活动材料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8.3.5近三年数学与统计学院周末主题活动材料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8.3.6近三年数学与统计学院社会实践活动材料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8.3.7近三年数学与统计学院安全教育活动材料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8.3.8近三年数学与统计学院公寓管理活动材料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8.3.9近三年数学与统计学院学术讲座一览表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8.3.10近三年数学与统计学院职业生涯规划活动材料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8.3.11近三年数学与统计学院见习、实习材料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8.3.12近三年数学与统计学院考研、考编指导材料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8.3.13近三年数学与统计学院就业创业指导讲座方案及材料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8.3.14近三年数学与统计学院“</w:t>
            </w:r>
            <w:r>
              <w:rPr>
                <w:rFonts w:hint="eastAsia" w:ascii="仿宋" w:hAnsi="仿宋" w:eastAsia="仿宋" w:cs="仿宋"/>
                <w:color w:val="000000"/>
                <w:kern w:val="0"/>
                <w:szCs w:val="24"/>
                <w:lang w:val="en-US" w:eastAsia="zh-CN" w:bidi="ar"/>
              </w:rPr>
              <w:t>JSU</w:t>
            </w:r>
            <w:r>
              <w:rPr>
                <w:rFonts w:hint="eastAsia" w:ascii="仿宋" w:hAnsi="仿宋" w:eastAsia="仿宋" w:cs="仿宋"/>
                <w:color w:val="000000"/>
                <w:kern w:val="0"/>
                <w:szCs w:val="24"/>
                <w:lang w:eastAsia="zh-CN" w:bidi="ar"/>
              </w:rPr>
              <w:t>数时代</w:t>
            </w:r>
            <w:r>
              <w:rPr>
                <w:rFonts w:hint="eastAsia" w:ascii="仿宋" w:hAnsi="仿宋" w:eastAsia="仿宋" w:cs="仿宋"/>
                <w:color w:val="000000"/>
                <w:kern w:val="0"/>
                <w:szCs w:val="24"/>
                <w:lang w:bidi="ar"/>
              </w:rPr>
              <w:t>”微信公众号材料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8.3.15数学与统计学院省级特色成长辅导室“旭日东方”材料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8.3.16近三年数学与应用数学专业思想政治教育、就业创业指导课程、心理健康教育等相关课程学习成绩单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8.3.17近三年数学与统计学院学生竞赛主要获奖、论文发表、大创项目立项情况一览表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8.3.18数学与统计学院学习指导管理机制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8.3.19近三年数学与统计学院学生成长指导教师安排表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近三年数学与统计学院新生入学教育材料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8.3.20近三年数学与统计学院学术讲座一览表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8.3.21近三年数学与统计学院学风建设月方案、总结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8.3.22数学与统计学院辅导员管理制度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8.3.23近三年数学与统计学院处级干联系班级、学业导师、创新创业、课程答疑辅导记录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8.3.24近三年数学与统计学院特色成长辅导室辅导记录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8.3.25近三年数学与统计学院关于数学竞赛、数学建模竞赛、师范技能竞赛培训材料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8.3.26近三年数学与统计学院考研、考编讲座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8.3.27数学与计算科学学业预警机制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8.3.28近三年数学与统计学院教育节、数学节、艺体节获奖名单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8.3.29近三年数学与应用数学专业学生课程成绩单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8.3.30近三年数学与统计学院教资、英语四级、计算机、普通话通过一览表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8.3.31数学与应用数学专业毕业要求调查问卷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8.3.32吉首大学思想政治工作质量提升工程实施方案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8.3.33吉首大学“课程思政”工作实施方案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8.3.34吉首大学“三全育人”实施方案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8.3.35数学与统计学院“课程思政”实施方案及教学比赛情况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8.3.36湖南省大学生学习习近平新时代中国特色社会主义思想暨第四届大学生思想政治理论课研究性学习成果展示竞赛获奖证书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color w:val="000000"/>
                <w:kern w:val="0"/>
                <w:szCs w:val="24"/>
                <w:lang w:bidi="ar"/>
              </w:rPr>
            </w:pPr>
            <w:r>
              <w:rPr>
                <w:rFonts w:hint="eastAsia" w:ascii="仿宋" w:hAnsi="仿宋" w:eastAsia="仿宋" w:cs="仿宋"/>
                <w:b/>
                <w:kern w:val="0"/>
                <w:szCs w:val="24"/>
              </w:rPr>
              <w:t>8.4学业监测</w:t>
            </w: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8.4.1吉首大学全日制本科学生学籍管理实施办法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8.4.2吉首大学学士学位授予工作细则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8.4.3辅修专业及辅修专业学士学位教育管理暂行办法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8.4.4吉首大学关于取消毕业“清考”的通知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8.4.5吉首大学课程考核管理办法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8.4.6吉首大学课程成绩管理办法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8.4.7吉首大学师范生教师职业技能考核办法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8.4.8吉首大学学生社会实践（第二课堂）管理实施办法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8.4.9吉首大学教育实习工作管理条例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8.4.10近三年数学与应用数学专业实习安排表级实习成绩表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8.4.11吉首大学关于加强教学检查的规定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8.4.12数学与统计学院教学检查安排表及教学检查日通报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8.4.13关于印发《吉首大学主要教学环节质量标准》的通知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8.4.14吉首大学课堂教学质量评价与处理办法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8.4.15吉首大学教师课堂教学行为规范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8.4.16吉首大学关于加强课堂教学管理的规定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8.4.17吉首大学学生课堂行为规范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8.4.18吉首大学关于加快建设高水平本科教育全面提高人才培养能力的实施意见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8.4.19吉首大学毕业论文（设计）工作管理规定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8.4.20数学与统计学院关于开展期中考试通知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8.4.21近三年数学与应用数学考研一览表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8.4.22近三年数学与统计学院奖学金名单一览表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8.4.23吉首大学学业预警流程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8.4.24数学与统计学院学业预警机制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8.4.25近三年数学与统计学院学业预警通知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8.4.26近三年数学与应用数学专业学业预警名单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8.4.27近三年数学与应用数学专业学业预警谈话记录表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8.4.28近三年数学与统计学院学业辅导记录表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8.4.29近三年数学与应用数学补考成绩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8.4.30 2021届数学与应用数学专业成绩一览表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8.4.31近三年数学与应用数学专业学业预警通知单（学院存根）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8.4.32近三年数学与应用数学专业综合测评表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8.4.33数学与应用数学专业2021届量化成长目标考核情况登记表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8.4.34近三年数学与应用数学毕业生一览表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color w:val="000000"/>
                <w:kern w:val="0"/>
                <w:szCs w:val="24"/>
                <w:lang w:bidi="ar"/>
              </w:rPr>
            </w:pPr>
            <w:r>
              <w:rPr>
                <w:rFonts w:hint="eastAsia" w:ascii="仿宋" w:hAnsi="仿宋" w:eastAsia="仿宋" w:cs="仿宋"/>
                <w:b/>
                <w:kern w:val="0"/>
                <w:szCs w:val="24"/>
              </w:rPr>
              <w:t>8.5就业质量</w:t>
            </w: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8.5.1吉首大学关于做好我校毕业生就业工作的实施意见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8.5.2吉首大学关于转发2019-2021届《教育部关于做好全国普通高等学校毕业生就业创业工作的通知》的通知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8.5.3 2019-2021届吉首大学XXX届毕业生就业质量调查报告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8.5.4近三年吉首大学双选会工作方案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8.5.5关于严格执行教育部关于就业工作“三严禁”、“四不准”的通知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8.5.6近三年吉首大学毕业生大型供需见面会新闻稿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8.5.7近三年吉首大学就业创业工作“一把手工程”督查评估工作协调相关材料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8.5.8吉首大学关于做好我校2019-2021届毕业生就业求职创业补贴发放工作的通知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8.5.9吉首大学关于做好2021届毕业生就业创业工作的通知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8.5.10数学与统计学院就业创业工作实施方案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8.5.11数学与统计学院关于做好2021届毕业生就业创业工作的通知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8.5.12数学与统计学院关于做好“建档立卡户”贫困户家庭毕业生就业帮扶工作的通知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8.5.13数学与统计学院关于开展2021届毕业生就业质量调查问卷的通知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8.5.14数学与统计学院关于做好我院2021届毕业生就业信息统计工作的通知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8.5.15近三年数学与统计学院考编、考研指导材料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8.5.16近三年数学与统计学院就业创业指导课材料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8.5.17数学与统计学院党员帮扶实施方案及帮扶记录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8.5.18近三年数学与应用数学专业就业率一览表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8.5.19 2019-2021届数学与应用数学专业毕业生教师资格认定通过人员名单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8.5.20 2019-2021届数学与应用数学专业毕业生获得毕业证、学士学位证人员名单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8.5.21 2019-2021届数学与应用数学专业学生就业去向统计表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hint="eastAsia" w:ascii="仿宋" w:hAnsi="仿宋" w:eastAsia="仿宋" w:cs="仿宋"/>
                <w:color w:val="000000"/>
                <w:kern w:val="0"/>
                <w:szCs w:val="24"/>
                <w:lang w:bidi="ar"/>
              </w:rPr>
            </w:pPr>
            <w:r>
              <w:rPr>
                <w:rFonts w:hint="eastAsia" w:ascii="仿宋" w:hAnsi="仿宋" w:eastAsia="仿宋" w:cs="仿宋"/>
                <w:color w:val="000000"/>
                <w:kern w:val="0"/>
                <w:szCs w:val="24"/>
                <w:lang w:bidi="ar"/>
              </w:rPr>
              <w:t>8.5.22 2019-2021届数学与统计学院XXX届毕业生就业质量调查报告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restart"/>
            <w:vAlign w:val="center"/>
          </w:tcPr>
          <w:p>
            <w:pPr>
              <w:jc w:val="center"/>
              <w:rPr>
                <w:rFonts w:ascii="仿宋" w:hAnsi="仿宋" w:eastAsia="仿宋" w:cs="仿宋"/>
                <w:color w:val="000000"/>
                <w:kern w:val="0"/>
                <w:szCs w:val="24"/>
                <w:lang w:bidi="ar"/>
              </w:rPr>
            </w:pPr>
            <w:r>
              <w:rPr>
                <w:rFonts w:hint="eastAsia" w:ascii="仿宋" w:hAnsi="仿宋" w:eastAsia="仿宋" w:cs="仿宋"/>
                <w:b/>
                <w:kern w:val="0"/>
                <w:szCs w:val="24"/>
              </w:rPr>
              <w:t>8.6社会声誉</w:t>
            </w: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8.6.1 数学与统计学院用人单位满意度调查问卷材料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szCs w:val="24"/>
              </w:rPr>
            </w:pPr>
          </w:p>
        </w:tc>
        <w:tc>
          <w:tcPr>
            <w:tcW w:w="1165" w:type="dxa"/>
            <w:vMerge w:val="continue"/>
            <w:vAlign w:val="center"/>
          </w:tcPr>
          <w:p>
            <w:pPr>
              <w:widowControl/>
              <w:jc w:val="center"/>
              <w:rPr>
                <w:rFonts w:ascii="仿宋" w:hAnsi="仿宋" w:eastAsia="仿宋" w:cs="仿宋"/>
                <w:szCs w:val="24"/>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8.6.2 吉首大学外宣报道材料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8.6.3 数学与应用数学专业优秀校友名单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8.6.4 2021年数学与应用数学专业培养方案合理性评价调查报告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8.6.5数学与统计学院家长、毕业生座谈会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8.6.6数学与统计学院与用人单位座谈会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8.6.7数学与应用数学专业外部评价调查报告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8.6.8近三年数学与应用数学专业毕业生返校交流会一览表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860" w:type="dxa"/>
            <w:vMerge w:val="continue"/>
            <w:vAlign w:val="center"/>
          </w:tcPr>
          <w:p>
            <w:pPr>
              <w:widowControl/>
              <w:jc w:val="center"/>
              <w:rPr>
                <w:rFonts w:ascii="仿宋" w:hAnsi="仿宋" w:eastAsia="仿宋" w:cs="仿宋"/>
                <w:color w:val="000000"/>
                <w:kern w:val="0"/>
                <w:szCs w:val="24"/>
                <w:lang w:bidi="ar"/>
              </w:rPr>
            </w:pPr>
          </w:p>
        </w:tc>
        <w:tc>
          <w:tcPr>
            <w:tcW w:w="1165" w:type="dxa"/>
            <w:vMerge w:val="continue"/>
            <w:vAlign w:val="center"/>
          </w:tcPr>
          <w:p>
            <w:pPr>
              <w:widowControl/>
              <w:jc w:val="center"/>
              <w:rPr>
                <w:rFonts w:ascii="仿宋" w:hAnsi="仿宋" w:eastAsia="仿宋" w:cs="仿宋"/>
                <w:color w:val="000000"/>
                <w:kern w:val="0"/>
                <w:szCs w:val="24"/>
                <w:lang w:bidi="ar"/>
              </w:rPr>
            </w:pPr>
          </w:p>
        </w:tc>
        <w:tc>
          <w:tcPr>
            <w:tcW w:w="6831" w:type="dxa"/>
            <w:vAlign w:val="center"/>
          </w:tcPr>
          <w:p>
            <w:pPr>
              <w:widowControl/>
              <w:jc w:val="left"/>
              <w:textAlignment w:val="center"/>
              <w:rPr>
                <w:rFonts w:ascii="仿宋" w:hAnsi="仿宋" w:eastAsia="仿宋" w:cs="仿宋"/>
                <w:color w:val="000000"/>
                <w:kern w:val="0"/>
                <w:szCs w:val="24"/>
                <w:lang w:bidi="ar"/>
              </w:rPr>
            </w:pPr>
            <w:r>
              <w:rPr>
                <w:rFonts w:hint="eastAsia" w:ascii="仿宋" w:hAnsi="仿宋" w:eastAsia="仿宋" w:cs="仿宋"/>
                <w:color w:val="000000"/>
                <w:kern w:val="0"/>
                <w:szCs w:val="24"/>
                <w:lang w:bidi="ar"/>
              </w:rPr>
              <w:t>8.6.9数学与应用数学专业人才培养方案（2019、2022版）</w:t>
            </w:r>
          </w:p>
        </w:tc>
      </w:tr>
    </w:tbl>
    <w:p>
      <w:pPr>
        <w:widowControl/>
        <w:spacing w:line="340" w:lineRule="exact"/>
        <w:jc w:val="left"/>
        <w:rPr>
          <w:rFonts w:ascii="仿宋" w:hAnsi="仿宋" w:eastAsia="仿宋" w:cs="仿宋"/>
          <w:color w:val="000000"/>
          <w:kern w:val="0"/>
          <w:sz w:val="22"/>
          <w:lang w:bidi="ar"/>
        </w:rPr>
      </w:pPr>
    </w:p>
    <w:p/>
    <w:p/>
    <w:sectPr>
      <w:footerReference r:id="rId3"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2zg3gEAALsDAAAOAAAAAAAA&#10;AAEAIAAAAB4BAABkcnMvZTJvRG9jLnhtbFBLBQYAAAAABgAGAFkBAABu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MzZiMWFjZGUzYTJlMTQxNmM2ZjJlYWI2YjU5YWMifQ=="/>
  </w:docVars>
  <w:rsids>
    <w:rsidRoot w:val="65897C28"/>
    <w:rsid w:val="000B0A3B"/>
    <w:rsid w:val="000B6418"/>
    <w:rsid w:val="00525DC5"/>
    <w:rsid w:val="006B2393"/>
    <w:rsid w:val="00893BD5"/>
    <w:rsid w:val="00A40BFC"/>
    <w:rsid w:val="00F15CD9"/>
    <w:rsid w:val="00FD5B12"/>
    <w:rsid w:val="03B61098"/>
    <w:rsid w:val="05A430C5"/>
    <w:rsid w:val="0A6C28EB"/>
    <w:rsid w:val="0C0A20BC"/>
    <w:rsid w:val="0DC36DDA"/>
    <w:rsid w:val="0DFC31B5"/>
    <w:rsid w:val="14687072"/>
    <w:rsid w:val="18653013"/>
    <w:rsid w:val="18F31E30"/>
    <w:rsid w:val="1FB51681"/>
    <w:rsid w:val="21AD0E83"/>
    <w:rsid w:val="23846C04"/>
    <w:rsid w:val="2874750D"/>
    <w:rsid w:val="29B63F42"/>
    <w:rsid w:val="2B3B0920"/>
    <w:rsid w:val="2EB66E36"/>
    <w:rsid w:val="31695C00"/>
    <w:rsid w:val="38802691"/>
    <w:rsid w:val="3BC20F88"/>
    <w:rsid w:val="414F440D"/>
    <w:rsid w:val="43826ACF"/>
    <w:rsid w:val="46851F55"/>
    <w:rsid w:val="5620347B"/>
    <w:rsid w:val="59810693"/>
    <w:rsid w:val="5F6C4BB6"/>
    <w:rsid w:val="638979E3"/>
    <w:rsid w:val="65897C28"/>
    <w:rsid w:val="665937F0"/>
    <w:rsid w:val="6E121B7A"/>
    <w:rsid w:val="6F4C7AD9"/>
    <w:rsid w:val="707347BF"/>
    <w:rsid w:val="77C16278"/>
    <w:rsid w:val="7B22377C"/>
    <w:rsid w:val="7DF9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4"/>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style>
  <w:style w:type="paragraph" w:customStyle="1" w:styleId="6">
    <w:name w:val="List Paragraph1"/>
    <w:basedOn w:val="1"/>
    <w:qFormat/>
    <w:uiPriority w:val="0"/>
    <w:pPr>
      <w:widowControl/>
      <w:ind w:left="720"/>
      <w:jc w:val="left"/>
    </w:pPr>
    <w:rPr>
      <w:rFonts w:ascii="Times New Roman" w:hAnsi="Times New Roman" w:eastAsia="宋体"/>
      <w:kern w:val="0"/>
      <w:sz w:val="28"/>
      <w:szCs w:val="28"/>
      <w:lang w:val="ru-RU" w:eastAsia="en-US"/>
    </w:rPr>
  </w:style>
  <w:style w:type="paragraph" w:customStyle="1" w:styleId="7">
    <w:name w:val="c192882_title"/>
    <w:basedOn w:val="1"/>
    <w:qFormat/>
    <w:uiPriority w:val="0"/>
    <w:pPr>
      <w:jc w:val="left"/>
    </w:pPr>
    <w:rPr>
      <w:b/>
      <w:bCs/>
      <w:color w:val="941F28"/>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2562</Words>
  <Characters>14610</Characters>
  <Lines>121</Lines>
  <Paragraphs>34</Paragraphs>
  <TotalTime>5</TotalTime>
  <ScaleCrop>false</ScaleCrop>
  <LinksUpToDate>false</LinksUpToDate>
  <CharactersWithSpaces>17138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2022-10-24T05:49:00Z</dcterms:created>
  <dc:creator>雅湘</dc:creator>
  <cp:lastModifiedBy>陈望学</cp:lastModifiedBy>
  <dcterms:modified xsi:type="dcterms:W3CDTF">2022-11-07T13:52:05Z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47B55B90A83D413D9AAA4DC9612A7124</vt:lpwstr>
  </property>
</Properties>
</file>